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4AD3"/>
    <w:multiLevelType w:val="singleLevel"/>
    <w:tmpl w:val="295F4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0D647E"/>
    <w:rsid w:val="00553497"/>
    <w:rsid w:val="00A76981"/>
    <w:rsid w:val="19553CCA"/>
    <w:rsid w:val="28B32BF3"/>
    <w:rsid w:val="2B49353F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1982</Characters>
  <Lines>16</Lines>
  <Paragraphs>4</Paragraphs>
  <TotalTime>0</TotalTime>
  <ScaleCrop>false</ScaleCrop>
  <LinksUpToDate>false</LinksUpToDate>
  <CharactersWithSpaces>2325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2024-05-09T09:01:00Z</dcterms:created>
  <dc:creator>雷允</dc:creator>
  <cp:lastModifiedBy>王义</cp:lastModifiedBy>
  <dcterms:modified xsi:type="dcterms:W3CDTF">2024-05-10T07:38:59Z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CAC33C10FB77405A94B7F9CE4487D2DA_13</vt:lpwstr>
  </property>
</Properties>
</file>